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CONSOLIDADO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321.999999999998" w:type="dxa"/>
        <w:jc w:val="center"/>
        <w:tblLayout w:type="fixed"/>
        <w:tblLook w:val="0000"/>
      </w:tblPr>
      <w:tblGrid>
        <w:gridCol w:w="2164"/>
        <w:gridCol w:w="2810"/>
        <w:gridCol w:w="5348"/>
        <w:tblGridChange w:id="0">
          <w:tblGrid>
            <w:gridCol w:w="2164"/>
            <w:gridCol w:w="2810"/>
            <w:gridCol w:w="534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w:t>
            </w:r>
            <w:r w:rsidDel="00000000" w:rsidR="00000000" w:rsidRPr="00000000">
              <w:rPr>
                <w:rFonts w:ascii="Arial" w:cs="Arial" w:eastAsia="Arial" w:hAnsi="Arial"/>
                <w:b w:val="1"/>
                <w:bCs w:val="1"/>
                <w:rtl w:val="0"/>
              </w:rPr>
              <w:t xml:space="preserve">SUBSECRETARÍA</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DE </w:t>
            </w:r>
            <w:r w:rsidDel="00000000" w:rsidR="00000000" w:rsidRPr="00000000">
              <w:rPr>
                <w:rFonts w:ascii="Arial" w:cs="Arial" w:eastAsia="Arial" w:hAnsi="Arial"/>
                <w:b w:val="1"/>
                <w:bCs w:val="1"/>
                <w:rtl w:val="0"/>
              </w:rPr>
              <w:t xml:space="preserve">INFRAESTRUCTURA</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como profesional especializado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5</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067-2025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LUIS FERNNADO MOLINA ROSERO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1.143.990.693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12.014.000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w:t>
            </w:r>
            <w:r w:rsidDel="00000000" w:rsidR="00000000" w:rsidRPr="00000000">
              <w:rPr>
                <w:rFonts w:ascii="Arial" w:cs="Arial" w:eastAsia="Arial" w:hAnsi="Arial"/>
                <w:rtl w:val="0"/>
              </w:rPr>
              <w:t xml:space="preserve">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r>
            <w:r w:rsidDel="00000000" w:rsidR="00000000" w:rsidRPr="00000000">
              <w:rPr>
                <w:rFonts w:ascii="Arial" w:cs="Arial" w:eastAsia="Arial" w:hAnsi="Arial"/>
                <w:rtl w:val="0"/>
              </w:rPr>
              <w:t xml:space="preserv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2.960.000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rPr/>
            </w:pPr>
            <w:r w:rsidDel="00000000" w:rsidR="00000000" w:rsidRPr="00000000">
              <w:rPr>
                <w:rFonts w:ascii="Arial" w:cs="Arial" w:eastAsia="Arial" w:hAnsi="Arial"/>
                <w:rtl w:val="0"/>
              </w:rPr>
              <w:t xml:space="preserve">1077638407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pPr>
            <w:r w:rsidDel="00000000" w:rsidR="00000000" w:rsidRPr="00000000">
              <w:rPr>
                <w:rFonts w:ascii="Arial" w:cs="Arial" w:eastAsia="Arial" w:hAnsi="Arial"/>
                <w:rtl w:val="0"/>
              </w:rPr>
              <w:t xml:space="preserve">1972457583</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017"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CONSOLIDADO CUOTA NÚMERO (1 y 2)</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582"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actividades de caracterización de la dinámica ciudadana en torno al deporte, la recreación y la actividad física.</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2. Realizar informes estadísticos, definición de variables e indicadores en las actividades e investigaciones integradas en el Observatorio del Deporte.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3. Adelantar la articulación de conocimiento con entidades de la administración distrital y organizaciones del sector.</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4. Aportar y actualizar datos y cifras de satisfacción de los participantes de los servicios de la secretaría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5. Las demás que le sean asignadas en desarrollo del objeto contractual.</w:t>
            </w:r>
          </w:p>
          <w:p w:rsidR="00000000" w:rsidDel="00000000" w:rsidP="00000000" w:rsidRDefault="00000000" w:rsidRPr="00000000" w14:paraId="00000089">
            <w:pPr>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8B">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p>
          <w:p w:rsidR="00000000" w:rsidDel="00000000" w:rsidP="00000000" w:rsidRDefault="00000000" w:rsidRPr="00000000" w14:paraId="0000008C">
            <w:pPr>
              <w:jc w:val="both"/>
              <w:rPr>
                <w:rFonts w:ascii="Arial" w:cs="Arial" w:eastAsia="Arial" w:hAnsi="Arial"/>
                <w:color w:val="000000"/>
              </w:rPr>
            </w:pPr>
            <w:r w:rsidDel="00000000" w:rsidR="00000000" w:rsidRPr="00000000">
              <w:rPr>
                <w:rFonts w:ascii="Arial" w:cs="Arial" w:eastAsia="Arial" w:hAnsi="Arial"/>
                <w:rtl w:val="0"/>
              </w:rPr>
              <w:t xml:space="preserve">1.Apoyé </w:t>
            </w:r>
            <w:r w:rsidDel="00000000" w:rsidR="00000000" w:rsidRPr="00000000">
              <w:rPr>
                <w:rFonts w:ascii="Arial" w:cs="Arial" w:eastAsia="Arial" w:hAnsi="Arial"/>
                <w:color w:val="000000"/>
                <w:rtl w:val="0"/>
              </w:rPr>
              <w:t xml:space="preserve">la logística para el análisis de la estimación de participantes de la Ciclovida, realizando los recorridos necesarios y brindando el soporte requerido para el adecuado desarrollo de la actividad. Este proceso permitió obtener insumos clave para la caracterización de la dinámica ciudadana en torno al deporte, la recreación y la actividad física. (Ver Anexo 1.1)</w:t>
            </w:r>
          </w:p>
          <w:p w:rsidR="00000000" w:rsidDel="00000000" w:rsidP="00000000" w:rsidRDefault="00000000" w:rsidRPr="00000000" w14:paraId="0000008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2</w:t>
            </w:r>
          </w:p>
          <w:p w:rsidR="00000000" w:rsidDel="00000000" w:rsidP="00000000" w:rsidRDefault="00000000" w:rsidRPr="00000000" w14:paraId="0000008F">
            <w:pPr>
              <w:jc w:val="both"/>
              <w:rPr/>
            </w:pPr>
            <w:r w:rsidDel="00000000" w:rsidR="00000000" w:rsidRPr="00000000">
              <w:rPr>
                <w:rFonts w:ascii="Arial" w:cs="Arial" w:eastAsia="Arial" w:hAnsi="Arial"/>
                <w:color w:val="000000"/>
                <w:rtl w:val="0"/>
              </w:rPr>
              <w:t xml:space="preserve">1. Brindé apoyo en el análisis de la actividad realizada para la estimación aproximada de participantes en la ciclovida, contribuyendo al proceso de conteo y a la caracterización de la dinámica ciudadana vinculada al deporte, la recreación y la actividad física. (Ver Anexo 1.1)</w:t>
            </w:r>
            <w:r w:rsidDel="00000000" w:rsidR="00000000" w:rsidRPr="00000000">
              <w:rPr>
                <w:rtl w:val="0"/>
              </w:rPr>
            </w:r>
          </w:p>
          <w:p w:rsidR="00000000" w:rsidDel="00000000" w:rsidP="00000000" w:rsidRDefault="00000000" w:rsidRPr="00000000" w14:paraId="0000009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p>
          <w:p w:rsidR="00000000" w:rsidDel="00000000" w:rsidP="00000000" w:rsidRDefault="00000000" w:rsidRPr="00000000" w14:paraId="00000094">
            <w:pPr>
              <w:jc w:val="both"/>
              <w:rPr>
                <w:rFonts w:ascii="Arial" w:cs="Arial" w:eastAsia="Arial" w:hAnsi="Arial"/>
              </w:rPr>
            </w:pPr>
            <w:r w:rsidDel="00000000" w:rsidR="00000000" w:rsidRPr="00000000">
              <w:rPr>
                <w:rFonts w:ascii="Arial" w:cs="Arial" w:eastAsia="Arial" w:hAnsi="Arial"/>
                <w:rtl w:val="0"/>
              </w:rPr>
              <w:t xml:space="preserve">2. P</w:t>
            </w:r>
            <w:r w:rsidDel="00000000" w:rsidR="00000000" w:rsidRPr="00000000">
              <w:rPr>
                <w:rFonts w:ascii="Arial" w:cs="Arial" w:eastAsia="Arial" w:hAnsi="Arial"/>
                <w:color w:val="000000"/>
                <w:rtl w:val="0"/>
              </w:rPr>
              <w:t xml:space="preserve">articipé en la visita realizada por la Universidad Francisco José de Caldas, en la cual se socializó el tema de administración de escenarios deportivos. Durante esta actividad, recopiló información relevante para generar insumos que aportan a la definición de variables e indicadores en las investigaciones desarrolladas por el Observatorio del Deporte. (Ver Anexo 2.1)</w:t>
            </w:r>
            <w:r w:rsidDel="00000000" w:rsidR="00000000" w:rsidRPr="00000000">
              <w:rPr>
                <w:rtl w:val="0"/>
              </w:rPr>
            </w:r>
          </w:p>
          <w:p w:rsidR="00000000" w:rsidDel="00000000" w:rsidP="00000000" w:rsidRDefault="00000000" w:rsidRPr="00000000" w14:paraId="0000009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2</w:t>
            </w:r>
          </w:p>
          <w:p w:rsidR="00000000" w:rsidDel="00000000" w:rsidP="00000000" w:rsidRDefault="00000000" w:rsidRPr="00000000" w14:paraId="00000098">
            <w:pPr>
              <w:jc w:val="both"/>
              <w:rPr/>
            </w:pPr>
            <w:r w:rsidDel="00000000" w:rsidR="00000000" w:rsidRPr="00000000">
              <w:rPr>
                <w:rFonts w:ascii="Arial" w:cs="Arial" w:eastAsia="Arial" w:hAnsi="Arial"/>
                <w:color w:val="000000"/>
                <w:rtl w:val="0"/>
              </w:rPr>
              <w:t xml:space="preserve">2.Participé activamente en la mesa interdisciplinaria de escenarios deportivos, aportando análisis y conceptos técnicos derivados de su experiencia en el sector, con el fin de fortalecer la definición de variables requeridos para la elaboración de informes estadísticos y procesos investigativos integrados al Observatorio del Deporte. (Ver Anexo 2.1)</w:t>
            </w:r>
            <w:r w:rsidDel="00000000" w:rsidR="00000000" w:rsidRPr="00000000">
              <w:rPr>
                <w:rtl w:val="0"/>
              </w:rPr>
            </w:r>
          </w:p>
          <w:p w:rsidR="00000000" w:rsidDel="00000000" w:rsidP="00000000" w:rsidRDefault="00000000" w:rsidRPr="00000000" w14:paraId="0000009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D">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p>
          <w:p w:rsidR="00000000" w:rsidDel="00000000" w:rsidP="00000000" w:rsidRDefault="00000000" w:rsidRPr="00000000" w14:paraId="000000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el Consejo Asesor del Deporte, aportando a los procesos de articulación de conocimiento con entidades de la administración distrital y organizaciones del sector. (Ver Anexo 3.1)</w:t>
            </w:r>
          </w:p>
          <w:p w:rsidR="00000000" w:rsidDel="00000000" w:rsidP="00000000" w:rsidRDefault="00000000" w:rsidRPr="00000000" w14:paraId="0000009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2</w:t>
            </w:r>
          </w:p>
          <w:p w:rsidR="00000000" w:rsidDel="00000000" w:rsidP="00000000" w:rsidRDefault="00000000" w:rsidRPr="00000000" w14:paraId="000000A1">
            <w:pPr>
              <w:jc w:val="both"/>
              <w:rPr/>
            </w:pPr>
            <w:r w:rsidDel="00000000" w:rsidR="00000000" w:rsidRPr="00000000">
              <w:rPr>
                <w:rFonts w:ascii="Arial" w:cs="Arial" w:eastAsia="Arial" w:hAnsi="Arial"/>
                <w:color w:val="000000"/>
                <w:rtl w:val="0"/>
              </w:rPr>
              <w:t xml:space="preserve">3.1Participé en las sesiones del Consejo Asesor del Deporte, aportando al proceso de articulación de conocimiento entre las entidades de la administración distrital y las organizaciones del sector, fortaleciendo la integración técnica y la coordinación interinstitucional. (Ver Anexo 3.1)</w:t>
            </w:r>
            <w:r w:rsidDel="00000000" w:rsidR="00000000" w:rsidRPr="00000000">
              <w:rPr>
                <w:rtl w:val="0"/>
              </w:rPr>
            </w:r>
          </w:p>
          <w:p w:rsidR="00000000" w:rsidDel="00000000" w:rsidP="00000000" w:rsidRDefault="00000000" w:rsidRPr="00000000" w14:paraId="000000A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3">
            <w:pPr>
              <w:jc w:val="both"/>
              <w:rPr>
                <w:rFonts w:ascii="Arial" w:cs="Arial" w:eastAsia="Arial" w:hAnsi="Arial"/>
                <w:color w:val="000000"/>
              </w:rPr>
            </w:pPr>
            <w:r w:rsidDel="00000000" w:rsidR="00000000" w:rsidRPr="00000000">
              <w:rPr>
                <w:rFonts w:ascii="Arial" w:cs="Arial" w:eastAsia="Arial" w:hAnsi="Arial"/>
                <w:color w:val="000000"/>
                <w:rtl w:val="0"/>
              </w:rPr>
              <w:t xml:space="preserve">3.2 Participé en la atención y orientación de los estudiantes visitantes de la Universidad de Bogotá, socializando aspectos relacionados con la administración de escenarios deportivos y acompañando el recorrido por algunos de los escenarios del Distrito, contribuyendo así a la articulación de conocimiento entre la administración distrital y las organizaciones del sector académico. (Ver Anexo 3.2)</w:t>
            </w:r>
          </w:p>
          <w:p w:rsidR="00000000" w:rsidDel="00000000" w:rsidP="00000000" w:rsidRDefault="00000000" w:rsidRPr="00000000" w14:paraId="000000A4">
            <w:pPr>
              <w:jc w:val="both"/>
              <w:rPr/>
            </w:pPr>
            <w:r w:rsidDel="00000000" w:rsidR="00000000" w:rsidRPr="00000000">
              <w:rPr>
                <w:rtl w:val="0"/>
              </w:rPr>
            </w:r>
          </w:p>
          <w:p w:rsidR="00000000" w:rsidDel="00000000" w:rsidP="00000000" w:rsidRDefault="00000000" w:rsidRPr="00000000" w14:paraId="000000A5">
            <w:pPr>
              <w:jc w:val="both"/>
              <w:rPr/>
            </w:pPr>
            <w:r w:rsidDel="00000000" w:rsidR="00000000" w:rsidRPr="00000000">
              <w:rPr>
                <w:rtl w:val="0"/>
              </w:rPr>
            </w:r>
          </w:p>
          <w:p w:rsidR="00000000" w:rsidDel="00000000" w:rsidP="00000000" w:rsidRDefault="00000000" w:rsidRPr="00000000" w14:paraId="000000A6">
            <w:pPr>
              <w:jc w:val="both"/>
              <w:rPr/>
            </w:pPr>
            <w:r w:rsidDel="00000000" w:rsidR="00000000" w:rsidRPr="00000000">
              <w:rPr>
                <w:rtl w:val="0"/>
              </w:rPr>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jc w:val="both"/>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A9">
            <w:pPr>
              <w:jc w:val="both"/>
              <w:rPr>
                <w:rFonts w:ascii="Arial" w:cs="Arial" w:eastAsia="Arial" w:hAnsi="Arial"/>
              </w:rPr>
            </w:pPr>
            <w:r w:rsidDel="00000000" w:rsidR="00000000" w:rsidRPr="00000000">
              <w:rPr>
                <w:rFonts w:ascii="Arial" w:cs="Arial" w:eastAsia="Arial" w:hAnsi="Arial"/>
                <w:rtl w:val="0"/>
              </w:rPr>
              <w:t xml:space="preserve">4. Apoyé en l</w:t>
            </w:r>
            <w:r w:rsidDel="00000000" w:rsidR="00000000" w:rsidRPr="00000000">
              <w:rPr>
                <w:rFonts w:ascii="Arial" w:cs="Arial" w:eastAsia="Arial" w:hAnsi="Arial"/>
                <w:color w:val="000000"/>
                <w:rtl w:val="0"/>
              </w:rPr>
              <w:t xml:space="preserve">a consolidación de los beneficiarios de los diferentes programas que tiene la Subsecretaría de Fomento en la Comuna 9, como insumo requerido para el diagnóstico de la comuna, a partir de la información registrada en el SIDER. (Ver Anexo 4.1)</w:t>
            </w:r>
            <w:r w:rsidDel="00000000" w:rsidR="00000000" w:rsidRPr="00000000">
              <w:rPr>
                <w:rtl w:val="0"/>
              </w:rPr>
            </w:r>
          </w:p>
          <w:p w:rsidR="00000000" w:rsidDel="00000000" w:rsidP="00000000" w:rsidRDefault="00000000" w:rsidRPr="00000000" w14:paraId="000000AA">
            <w:pPr>
              <w:jc w:val="both"/>
              <w:rPr>
                <w:rFonts w:ascii="Arial" w:cs="Arial" w:eastAsia="Arial" w:hAnsi="Arial"/>
              </w:rPr>
            </w:pPr>
            <w:r w:rsidDel="00000000" w:rsidR="00000000" w:rsidRPr="00000000">
              <w:rPr>
                <w:rtl w:val="0"/>
              </w:rPr>
            </w:r>
          </w:p>
          <w:p w:rsidR="00000000" w:rsidDel="00000000" w:rsidP="00000000" w:rsidRDefault="00000000" w:rsidRPr="00000000" w14:paraId="000000AB">
            <w:pPr>
              <w:jc w:val="both"/>
              <w:rPr>
                <w:rFonts w:ascii="Arial" w:cs="Arial" w:eastAsia="Arial" w:hAnsi="Arial"/>
              </w:rPr>
            </w:pPr>
            <w:r w:rsidDel="00000000" w:rsidR="00000000" w:rsidRPr="00000000">
              <w:rPr>
                <w:rtl w:val="0"/>
              </w:rPr>
            </w:r>
          </w:p>
          <w:p w:rsidR="00000000" w:rsidDel="00000000" w:rsidP="00000000" w:rsidRDefault="00000000" w:rsidRPr="00000000" w14:paraId="000000AC">
            <w:pPr>
              <w:jc w:val="both"/>
              <w:rPr>
                <w:rFonts w:ascii="Arial" w:cs="Arial" w:eastAsia="Arial" w:hAnsi="Arial"/>
              </w:rPr>
            </w:pPr>
            <w:r w:rsidDel="00000000" w:rsidR="00000000" w:rsidRPr="00000000">
              <w:rPr>
                <w:rFonts w:ascii="Arial" w:cs="Arial" w:eastAsia="Arial" w:hAnsi="Arial"/>
                <w:rtl w:val="0"/>
              </w:rPr>
              <w:t xml:space="preserve">CUOTA 2</w:t>
            </w:r>
          </w:p>
          <w:p w:rsidR="00000000" w:rsidDel="00000000" w:rsidP="00000000" w:rsidRDefault="00000000" w:rsidRPr="00000000" w14:paraId="000000AD">
            <w:pPr>
              <w:jc w:val="both"/>
              <w:rPr>
                <w:rFonts w:ascii="Arial" w:cs="Arial" w:eastAsia="Arial" w:hAnsi="Arial"/>
                <w:color w:val="000000"/>
              </w:rPr>
            </w:pPr>
            <w:r w:rsidDel="00000000" w:rsidR="00000000" w:rsidRPr="00000000">
              <w:rPr>
                <w:rFonts w:ascii="Arial" w:cs="Arial" w:eastAsia="Arial" w:hAnsi="Arial"/>
                <w:color w:val="000000"/>
                <w:rtl w:val="0"/>
              </w:rPr>
              <w:t xml:space="preserve">4. Apoyó la consolidación de los beneficiarios de los diferentes programas que tiene la Subsecretaría de Fomento en la Comuna 19 y corregimiento Buitrera, como insumo requerido para el diagnóstico de la comuna, a partir de la información registrada en el SIDER. (Ver Anexo 4.1)</w:t>
            </w:r>
          </w:p>
          <w:p w:rsidR="00000000" w:rsidDel="00000000" w:rsidP="00000000" w:rsidRDefault="00000000" w:rsidRPr="00000000" w14:paraId="000000AE">
            <w:pPr>
              <w:jc w:val="both"/>
              <w:rPr/>
            </w:pPr>
            <w:r w:rsidDel="00000000" w:rsidR="00000000" w:rsidRPr="00000000">
              <w:rPr>
                <w:rtl w:val="0"/>
              </w:rPr>
            </w:r>
          </w:p>
          <w:p w:rsidR="00000000" w:rsidDel="00000000" w:rsidP="00000000" w:rsidRDefault="00000000" w:rsidRPr="00000000" w14:paraId="000000AF">
            <w:pPr>
              <w:jc w:val="both"/>
              <w:rPr/>
            </w:pPr>
            <w:r w:rsidDel="00000000" w:rsidR="00000000" w:rsidRPr="00000000">
              <w:rPr>
                <w:rtl w:val="0"/>
              </w:rPr>
            </w:r>
          </w:p>
          <w:p w:rsidR="00000000" w:rsidDel="00000000" w:rsidP="00000000" w:rsidRDefault="00000000" w:rsidRPr="00000000" w14:paraId="000000B0">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1</w:t>
            </w:r>
          </w:p>
          <w:p w:rsidR="00000000" w:rsidDel="00000000" w:rsidP="00000000" w:rsidRDefault="00000000" w:rsidRPr="00000000" w14:paraId="000000B1">
            <w:pPr>
              <w:jc w:val="both"/>
              <w:rPr>
                <w:rFonts w:ascii="Arial" w:cs="Arial" w:eastAsia="Arial" w:hAnsi="Arial"/>
                <w:color w:val="000000"/>
              </w:rPr>
            </w:pPr>
            <w:r w:rsidDel="00000000" w:rsidR="00000000" w:rsidRPr="00000000">
              <w:rPr>
                <w:rFonts w:ascii="Arial" w:cs="Arial" w:eastAsia="Arial" w:hAnsi="Arial"/>
                <w:color w:val="000000"/>
                <w:rtl w:val="0"/>
              </w:rPr>
              <w:t xml:space="preserve">5.Participé en mesa de trabajo con el equipo del ODRAF en el que se llevó a cabo la revisión de avance de las investigaciones y el plan de trabajo establecido. (Ver Anexo 5.1)</w:t>
            </w:r>
          </w:p>
          <w:p w:rsidR="00000000" w:rsidDel="00000000" w:rsidP="00000000" w:rsidRDefault="00000000" w:rsidRPr="00000000" w14:paraId="000000B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3">
            <w:pPr>
              <w:jc w:val="both"/>
              <w:rPr>
                <w:rFonts w:ascii="Arial" w:cs="Arial" w:eastAsia="Arial" w:hAnsi="Arial"/>
                <w:color w:val="000000"/>
              </w:rPr>
            </w:pPr>
            <w:r w:rsidDel="00000000" w:rsidR="00000000" w:rsidRPr="00000000">
              <w:rPr>
                <w:rFonts w:ascii="Arial" w:cs="Arial" w:eastAsia="Arial" w:hAnsi="Arial"/>
                <w:color w:val="000000"/>
                <w:rtl w:val="0"/>
              </w:rPr>
              <w:t xml:space="preserve">CUOTA 2</w:t>
            </w:r>
          </w:p>
          <w:p w:rsidR="00000000" w:rsidDel="00000000" w:rsidP="00000000" w:rsidRDefault="00000000" w:rsidRPr="00000000" w14:paraId="000000B4">
            <w:pPr>
              <w:jc w:val="both"/>
              <w:rPr>
                <w:rFonts w:ascii="Arial" w:cs="Arial" w:eastAsia="Arial" w:hAnsi="Arial"/>
                <w:color w:val="000000"/>
              </w:rPr>
            </w:pPr>
            <w:r w:rsidDel="00000000" w:rsidR="00000000" w:rsidRPr="00000000">
              <w:rPr>
                <w:rFonts w:ascii="Arial" w:cs="Arial" w:eastAsia="Arial" w:hAnsi="Arial"/>
                <w:color w:val="000000"/>
                <w:rtl w:val="0"/>
              </w:rPr>
              <w:t xml:space="preserve">5.1 Participé en mesa de trabajo con el equipo del ODRAF en el que se planea, revisa y ajusta el plan de trabajo establecido. (Ver Anexo 5.1)</w:t>
            </w:r>
          </w:p>
          <w:p w:rsidR="00000000" w:rsidDel="00000000" w:rsidP="00000000" w:rsidRDefault="00000000" w:rsidRPr="00000000" w14:paraId="000000B5">
            <w:pPr>
              <w:jc w:val="both"/>
              <w:rPr/>
            </w:pPr>
            <w:r w:rsidDel="00000000" w:rsidR="00000000" w:rsidRPr="00000000">
              <w:rPr>
                <w:rtl w:val="0"/>
              </w:rPr>
            </w:r>
          </w:p>
          <w:p w:rsidR="00000000" w:rsidDel="00000000" w:rsidP="00000000" w:rsidRDefault="00000000" w:rsidRPr="00000000" w14:paraId="000000B6">
            <w:pPr>
              <w:jc w:val="both"/>
              <w:rPr/>
            </w:pPr>
            <w:r w:rsidDel="00000000" w:rsidR="00000000" w:rsidRPr="00000000">
              <w:rPr>
                <w:rFonts w:ascii="Arial" w:cs="Arial" w:eastAsia="Arial" w:hAnsi="Arial"/>
                <w:rtl w:val="0"/>
              </w:rPr>
              <w:t xml:space="preserve">5.2 Participé en la jornada de capacitación convocada por la Alcaldía de Santiago de Cali, fortaleciendo sus competencias técnicas y contribuyendo al adecuado desarrollo de las funciones asignadas en el marco del objeto contractual. (Ver Anexo 5.2)</w:t>
            </w:r>
            <w:r w:rsidDel="00000000" w:rsidR="00000000" w:rsidRPr="00000000">
              <w:rPr>
                <w:rtl w:val="0"/>
              </w:rPr>
            </w:r>
          </w:p>
          <w:p w:rsidR="00000000" w:rsidDel="00000000" w:rsidP="00000000" w:rsidRDefault="00000000" w:rsidRPr="00000000" w14:paraId="000000B7">
            <w:pPr>
              <w:jc w:val="both"/>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https://drive.google.com/drive/folders/1XMUB6BTibjCbJjKNIvr-8vMMdhKilKvo</w:t>
              </w:r>
            </w:hyperlink>
            <w:r w:rsidDel="00000000" w:rsidR="00000000" w:rsidRPr="00000000">
              <w:rPr>
                <w:rFonts w:ascii="Arial" w:cs="Arial" w:eastAsia="Arial" w:hAnsi="Arial"/>
                <w:rtl w:val="0"/>
              </w:rPr>
              <w:t xml:space="preserve">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540570" cy="794108"/>
                  <wp:effectExtent b="0" l="0" r="0" t="0"/>
                  <wp:docPr id="46709987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540570" cy="794108"/>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w:t>
            </w:r>
            <w:r w:rsidDel="00000000" w:rsidR="00000000" w:rsidRPr="00000000">
              <w:rPr>
                <w:rFonts w:ascii="Arial" w:cs="Arial" w:eastAsia="Arial" w:hAnsi="Arial"/>
                <w:sz w:val="22"/>
                <w:szCs w:val="22"/>
                <w:rtl w:val="0"/>
              </w:rPr>
              <w:t xml:space="preserve">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567"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360"/>
      </w:pPr>
      <w:rPr/>
    </w:lvl>
    <w:lvl w:ilvl="1">
      <w:start w:val="1"/>
      <w:numFmt w:val="lowerLetter"/>
      <w:lvlText w:val="%2."/>
      <w:lvlJc w:val="left"/>
      <w:pPr>
        <w:ind w:left="1152" w:hanging="360"/>
      </w:pPr>
      <w:rPr/>
    </w:lvl>
    <w:lvl w:ilvl="2">
      <w:start w:val="1"/>
      <w:numFmt w:val="lowerRoman"/>
      <w:lvlText w:val="%3."/>
      <w:lvlJc w:val="right"/>
      <w:pPr>
        <w:ind w:left="1872" w:hanging="180"/>
      </w:pPr>
      <w:rPr/>
    </w:lvl>
    <w:lvl w:ilvl="3">
      <w:start w:val="1"/>
      <w:numFmt w:val="decimal"/>
      <w:lvlText w:val="%4."/>
      <w:lvlJc w:val="left"/>
      <w:pPr>
        <w:ind w:left="2592" w:hanging="360"/>
      </w:pPr>
      <w:rPr/>
    </w:lvl>
    <w:lvl w:ilvl="4">
      <w:start w:val="1"/>
      <w:numFmt w:val="lowerLetter"/>
      <w:lvlText w:val="%5."/>
      <w:lvlJc w:val="left"/>
      <w:pPr>
        <w:ind w:left="3312" w:hanging="360"/>
      </w:pPr>
      <w:rPr/>
    </w:lvl>
    <w:lvl w:ilvl="5">
      <w:start w:val="1"/>
      <w:numFmt w:val="lowerRoman"/>
      <w:lvlText w:val="%6."/>
      <w:lvlJc w:val="right"/>
      <w:pPr>
        <w:ind w:left="4032" w:hanging="180"/>
      </w:pPr>
      <w:rPr/>
    </w:lvl>
    <w:lvl w:ilvl="6">
      <w:start w:val="1"/>
      <w:numFmt w:val="decimal"/>
      <w:lvlText w:val="%7."/>
      <w:lvlJc w:val="left"/>
      <w:pPr>
        <w:ind w:left="4752" w:hanging="360"/>
      </w:pPr>
      <w:rPr/>
    </w:lvl>
    <w:lvl w:ilvl="7">
      <w:start w:val="1"/>
      <w:numFmt w:val="lowerLetter"/>
      <w:lvlText w:val="%8."/>
      <w:lvlJc w:val="left"/>
      <w:pPr>
        <w:ind w:left="5472" w:hanging="360"/>
      </w:pPr>
      <w:rPr/>
    </w:lvl>
    <w:lvl w:ilvl="8">
      <w:start w:val="1"/>
      <w:numFmt w:val="lowerRoman"/>
      <w:lvlText w:val="%9."/>
      <w:lvlJc w:val="right"/>
      <w:pPr>
        <w:ind w:left="6192" w:hanging="180"/>
      </w:pPr>
      <w:rPr/>
    </w:lvl>
  </w:abstractNum>
  <w:abstractNum w:abstractNumId="2">
    <w:lvl w:ilvl="0">
      <w:start w:val="1"/>
      <w:numFmt w:val="decimal"/>
      <w:lvlText w:val="%1."/>
      <w:lvlJc w:val="left"/>
      <w:pPr>
        <w:ind w:left="432" w:hanging="360"/>
      </w:pPr>
      <w:rPr/>
    </w:lvl>
    <w:lvl w:ilvl="1">
      <w:start w:val="1"/>
      <w:numFmt w:val="lowerLetter"/>
      <w:lvlText w:val="%2."/>
      <w:lvlJc w:val="left"/>
      <w:pPr>
        <w:ind w:left="1152" w:hanging="360"/>
      </w:pPr>
      <w:rPr/>
    </w:lvl>
    <w:lvl w:ilvl="2">
      <w:start w:val="1"/>
      <w:numFmt w:val="lowerRoman"/>
      <w:lvlText w:val="%3."/>
      <w:lvlJc w:val="right"/>
      <w:pPr>
        <w:ind w:left="1872" w:hanging="180"/>
      </w:pPr>
      <w:rPr/>
    </w:lvl>
    <w:lvl w:ilvl="3">
      <w:start w:val="1"/>
      <w:numFmt w:val="decimal"/>
      <w:lvlText w:val="%4."/>
      <w:lvlJc w:val="left"/>
      <w:pPr>
        <w:ind w:left="2592" w:hanging="360"/>
      </w:pPr>
      <w:rPr/>
    </w:lvl>
    <w:lvl w:ilvl="4">
      <w:start w:val="1"/>
      <w:numFmt w:val="lowerLetter"/>
      <w:lvlText w:val="%5."/>
      <w:lvlJc w:val="left"/>
      <w:pPr>
        <w:ind w:left="3312" w:hanging="360"/>
      </w:pPr>
      <w:rPr/>
    </w:lvl>
    <w:lvl w:ilvl="5">
      <w:start w:val="1"/>
      <w:numFmt w:val="lowerRoman"/>
      <w:lvlText w:val="%6."/>
      <w:lvlJc w:val="right"/>
      <w:pPr>
        <w:ind w:left="4032" w:hanging="180"/>
      </w:pPr>
      <w:rPr/>
    </w:lvl>
    <w:lvl w:ilvl="6">
      <w:start w:val="1"/>
      <w:numFmt w:val="decimal"/>
      <w:lvlText w:val="%7."/>
      <w:lvlJc w:val="left"/>
      <w:pPr>
        <w:ind w:left="4752" w:hanging="360"/>
      </w:pPr>
      <w:rPr/>
    </w:lvl>
    <w:lvl w:ilvl="7">
      <w:start w:val="1"/>
      <w:numFmt w:val="lowerLetter"/>
      <w:lvlText w:val="%8."/>
      <w:lvlJc w:val="left"/>
      <w:pPr>
        <w:ind w:left="5472" w:hanging="360"/>
      </w:pPr>
      <w:rPr/>
    </w:lvl>
    <w:lvl w:ilvl="8">
      <w:start w:val="1"/>
      <w:numFmt w:val="lowerRoman"/>
      <w:lvlText w:val="%9."/>
      <w:lvlJc w:val="right"/>
      <w:pPr>
        <w:ind w:left="6192"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p1" w:customStyle="1">
    <w:name w:val="p1"/>
    <w:basedOn w:val="Normal"/>
    <w:rsid w:val="00AE652E"/>
    <w:pPr>
      <w:widowControl w:val="1"/>
      <w:suppressAutoHyphens w:val="0"/>
      <w:textAlignment w:val="auto"/>
    </w:pPr>
    <w:rPr>
      <w:rFonts w:ascii="Arial" w:cs="Arial" w:eastAsia="Times New Roman" w:hAnsi="Arial"/>
      <w:color w:val="000000"/>
      <w:kern w:val="0"/>
      <w:sz w:val="18"/>
      <w:szCs w:val="18"/>
      <w:lang w:bidi="ar-SA" w:eastAsia="es-MX"/>
    </w:rPr>
  </w:style>
  <w:style w:type="character" w:styleId="Hipervnculo">
    <w:name w:val="Hyperlink"/>
    <w:basedOn w:val="Fuentedeprrafopredeter"/>
    <w:uiPriority w:val="99"/>
    <w:unhideWhenUsed w:val="1"/>
    <w:rsid w:val="00E03029"/>
    <w:rPr>
      <w:color w:val="0563c1" w:themeColor="hyperlink"/>
      <w:u w:val="single"/>
    </w:rPr>
  </w:style>
  <w:style w:type="character" w:styleId="Mencinsinresolver">
    <w:name w:val="Unresolved Mention"/>
    <w:basedOn w:val="Fuentedeprrafopredeter"/>
    <w:uiPriority w:val="99"/>
    <w:semiHidden w:val="1"/>
    <w:unhideWhenUsed w:val="1"/>
    <w:rsid w:val="00E0302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MUB6BTibjCbJjKNIvr-8vMMdhKilKvo"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lad9apePw24CJt234U1twVc0PA==">CgMxLjA4AHIhMXFFajh1NTZ5VXdnajJDMGUyNzdWT3BENDRnQl8teXN4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2025-12-02T04:36:00Z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